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新兴产业财务尽调业绩表</w:t>
      </w:r>
    </w:p>
    <w:tbl>
      <w:tblPr>
        <w:tblStyle w:val="5"/>
        <w:tblW w:w="13674" w:type="dxa"/>
        <w:jc w:val="center"/>
        <w:tblInd w:w="-3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77"/>
        <w:gridCol w:w="1765"/>
        <w:gridCol w:w="1547"/>
        <w:gridCol w:w="1996"/>
        <w:gridCol w:w="1315"/>
        <w:gridCol w:w="1339"/>
        <w:gridCol w:w="1419"/>
        <w:gridCol w:w="1031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所处产业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委托方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委托方联系人及联系电话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工作主要内容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合同履行时间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项目服务团队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成员</w:t>
            </w: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新一代信息技术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人工智能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请提供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尽调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报告复印件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服务协议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复印件（首页及盖章页即可）作为业绩证明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材料；2.提供尽调业绩须属于新一代信息技术或人工智能产业；3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.本表加盖公章。</w:t>
      </w:r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24829"/>
    <w:rsid w:val="47B24829"/>
    <w:rsid w:val="52C1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2024-04-07T10:51:00Z</dcterms:created>
  <dc:creator>洛书易</dc:creator>
  <cp:lastModifiedBy>偶遇烈火</cp:lastModifiedBy>
  <dcterms:modified xsi:type="dcterms:W3CDTF">2024-10-18T07:13:54Z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